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9A8" w:rsidRPr="00476487" w:rsidRDefault="004439A8" w:rsidP="004439A8">
      <w:pPr>
        <w:spacing w:line="480" w:lineRule="auto"/>
        <w:ind w:firstLine="720"/>
        <w:jc w:val="center"/>
        <w:rPr>
          <w:rFonts w:ascii="Cambria" w:hAnsi="Cambria"/>
          <w:b/>
          <w:sz w:val="24"/>
          <w:szCs w:val="24"/>
        </w:rPr>
      </w:pPr>
      <w:r w:rsidRPr="00476487">
        <w:rPr>
          <w:rFonts w:ascii="Cambria" w:hAnsi="Cambria"/>
          <w:b/>
          <w:sz w:val="24"/>
          <w:szCs w:val="24"/>
        </w:rPr>
        <w:t>Signal Phrasing</w:t>
      </w:r>
    </w:p>
    <w:p w:rsidR="004439A8" w:rsidRPr="004439A8" w:rsidRDefault="004439A8" w:rsidP="004439A8">
      <w:pPr>
        <w:spacing w:line="480" w:lineRule="auto"/>
        <w:ind w:firstLine="720"/>
        <w:rPr>
          <w:rFonts w:ascii="Cambria" w:hAnsi="Cambria"/>
          <w:b/>
        </w:rPr>
      </w:pPr>
      <w:r w:rsidRPr="004439A8">
        <w:rPr>
          <w:rFonts w:ascii="Cambria" w:hAnsi="Cambria"/>
          <w:b/>
        </w:rPr>
        <w:t>WRONG-Dangling Quotation/Hit and Run</w:t>
      </w:r>
    </w:p>
    <w:p w:rsidR="00C77B84" w:rsidRDefault="00C77B84" w:rsidP="00C77B84">
      <w:pPr>
        <w:spacing w:line="480" w:lineRule="auto"/>
        <w:ind w:firstLine="720"/>
        <w:rPr>
          <w:rFonts w:ascii="Cambria" w:hAnsi="Cambria"/>
        </w:rPr>
      </w:pPr>
      <w:r w:rsidRPr="00C77B84">
        <w:rPr>
          <w:rFonts w:ascii="Cambria" w:hAnsi="Cambria"/>
        </w:rPr>
        <w:t>With the mystery apparently solved, the reader might think that the story should end at this point.  Indeed, several critics have argued that “The Necklace”’s conclusion</w:t>
      </w:r>
      <w:bookmarkStart w:id="0" w:name="_GoBack"/>
      <w:bookmarkEnd w:id="0"/>
      <w:r w:rsidRPr="00C77B84">
        <w:rPr>
          <w:rFonts w:ascii="Cambria" w:hAnsi="Cambria"/>
        </w:rPr>
        <w:t xml:space="preserve">—its oft-noted surprise ending—is </w:t>
      </w:r>
      <w:r>
        <w:rPr>
          <w:rFonts w:ascii="Cambria" w:hAnsi="Cambria"/>
        </w:rPr>
        <w:t xml:space="preserve">necessary.  </w:t>
      </w:r>
      <w:r w:rsidRPr="00C77B84">
        <w:rPr>
          <w:rFonts w:ascii="Cambria" w:hAnsi="Cambria"/>
        </w:rPr>
        <w:t>“</w:t>
      </w:r>
      <w:proofErr w:type="gramStart"/>
      <w:r w:rsidRPr="00C77B84">
        <w:rPr>
          <w:rFonts w:ascii="Cambria" w:hAnsi="Cambria"/>
        </w:rPr>
        <w:t>the</w:t>
      </w:r>
      <w:proofErr w:type="gramEnd"/>
      <w:r w:rsidRPr="00C77B84">
        <w:rPr>
          <w:rFonts w:ascii="Cambria" w:hAnsi="Cambria"/>
        </w:rPr>
        <w:t xml:space="preserve"> real merits of the tale as read, do not lie in the cleverness of the ending</w:t>
      </w:r>
      <w:r>
        <w:rPr>
          <w:rFonts w:ascii="Cambria" w:hAnsi="Cambria"/>
        </w:rPr>
        <w:t>”</w:t>
      </w:r>
      <w:r w:rsidRPr="00C77B84">
        <w:rPr>
          <w:rFonts w:ascii="Cambria" w:hAnsi="Cambria"/>
        </w:rPr>
        <w:t xml:space="preserve"> (85).</w:t>
      </w:r>
      <w:r>
        <w:rPr>
          <w:rFonts w:ascii="Cambria" w:hAnsi="Cambria"/>
        </w:rPr>
        <w:t xml:space="preserve">  </w:t>
      </w:r>
    </w:p>
    <w:p w:rsidR="004439A8" w:rsidRDefault="004439A8" w:rsidP="004439A8">
      <w:pPr>
        <w:spacing w:line="480" w:lineRule="auto"/>
        <w:rPr>
          <w:rFonts w:ascii="Cambria" w:hAnsi="Cambria"/>
          <w:b/>
        </w:rPr>
      </w:pPr>
    </w:p>
    <w:p w:rsidR="00C77B84" w:rsidRPr="004439A8" w:rsidRDefault="00C77B84" w:rsidP="004439A8">
      <w:pPr>
        <w:spacing w:line="480" w:lineRule="auto"/>
        <w:rPr>
          <w:rFonts w:ascii="Cambria" w:hAnsi="Cambria"/>
          <w:b/>
        </w:rPr>
      </w:pPr>
    </w:p>
    <w:p w:rsidR="004439A8" w:rsidRPr="004439A8" w:rsidRDefault="004439A8" w:rsidP="004439A8">
      <w:pPr>
        <w:spacing w:line="480" w:lineRule="auto"/>
        <w:rPr>
          <w:rFonts w:ascii="Cambria" w:hAnsi="Cambria"/>
          <w:u w:val="single"/>
        </w:rPr>
      </w:pPr>
      <w:r w:rsidRPr="004439A8">
        <w:rPr>
          <w:rFonts w:ascii="Cambria" w:hAnsi="Cambria"/>
          <w:b/>
        </w:rPr>
        <w:t>CORRECT</w:t>
      </w:r>
    </w:p>
    <w:p w:rsidR="00C77B84" w:rsidRDefault="004439A8" w:rsidP="004439A8">
      <w:pPr>
        <w:spacing w:line="480" w:lineRule="auto"/>
        <w:rPr>
          <w:rFonts w:ascii="Cambria" w:hAnsi="Cambria"/>
        </w:rPr>
      </w:pPr>
      <w:r w:rsidRPr="004439A8">
        <w:rPr>
          <w:rFonts w:ascii="Cambria" w:hAnsi="Cambria"/>
        </w:rPr>
        <w:tab/>
      </w:r>
      <w:r w:rsidR="00996567">
        <w:rPr>
          <w:rFonts w:ascii="Cambria" w:hAnsi="Cambria"/>
        </w:rPr>
        <w:t xml:space="preserve">With the mystery apparently solved, the reader might think that the story should end at this point.  Indeed, several critics have argued that “The Necklace”’s conclusion—its oft-noted surprise ending—is necessary.  </w:t>
      </w:r>
      <w:r w:rsidR="00996567" w:rsidRPr="00996567">
        <w:rPr>
          <w:rFonts w:ascii="Cambria" w:hAnsi="Cambria"/>
          <w:highlight w:val="yellow"/>
        </w:rPr>
        <w:t xml:space="preserve">In his 1974 book </w:t>
      </w:r>
      <w:r w:rsidR="00996567" w:rsidRPr="00996567">
        <w:rPr>
          <w:rFonts w:ascii="Cambria" w:hAnsi="Cambria"/>
          <w:i/>
          <w:highlight w:val="yellow"/>
        </w:rPr>
        <w:t xml:space="preserve">The Short Story, </w:t>
      </w:r>
      <w:r w:rsidR="00996567" w:rsidRPr="00996567">
        <w:rPr>
          <w:rFonts w:ascii="Cambria" w:hAnsi="Cambria"/>
          <w:highlight w:val="yellow"/>
        </w:rPr>
        <w:t>Sean O’Faolain argues that</w:t>
      </w:r>
      <w:r w:rsidR="00996567">
        <w:rPr>
          <w:rFonts w:ascii="Cambria" w:hAnsi="Cambria"/>
        </w:rPr>
        <w:t xml:space="preserve"> </w:t>
      </w:r>
      <w:r w:rsidR="00996567" w:rsidRPr="00996567">
        <w:rPr>
          <w:rFonts w:ascii="Cambria" w:hAnsi="Cambria"/>
          <w:highlight w:val="green"/>
        </w:rPr>
        <w:t>“the real merits of the tale as read, do not lie in the cleverness of the ending</w:t>
      </w:r>
      <w:r w:rsidR="00996567">
        <w:rPr>
          <w:rFonts w:ascii="Cambria" w:hAnsi="Cambria"/>
        </w:rPr>
        <w:t xml:space="preserve">,” </w:t>
      </w:r>
      <w:r w:rsidR="00996567" w:rsidRPr="00996567">
        <w:rPr>
          <w:rFonts w:ascii="Cambria" w:hAnsi="Cambria"/>
          <w:highlight w:val="cyan"/>
        </w:rPr>
        <w:t xml:space="preserve">making the case that Maupassant’s genius lies in his characterization of the </w:t>
      </w:r>
      <w:proofErr w:type="spellStart"/>
      <w:r w:rsidR="00996567" w:rsidRPr="00996567">
        <w:rPr>
          <w:rFonts w:ascii="Cambria" w:hAnsi="Cambria"/>
          <w:highlight w:val="cyan"/>
        </w:rPr>
        <w:t>Loisels</w:t>
      </w:r>
      <w:proofErr w:type="spellEnd"/>
      <w:r w:rsidR="00996567" w:rsidRPr="00996567">
        <w:rPr>
          <w:rFonts w:ascii="Cambria" w:hAnsi="Cambria"/>
          <w:highlight w:val="cyan"/>
        </w:rPr>
        <w:t xml:space="preserve"> and his depiction of the hardships that they encounter</w:t>
      </w:r>
      <w:r w:rsidR="00996567">
        <w:rPr>
          <w:rFonts w:ascii="Cambria" w:hAnsi="Cambria"/>
        </w:rPr>
        <w:t xml:space="preserve"> </w:t>
      </w:r>
      <w:r w:rsidR="00996567" w:rsidRPr="00996567">
        <w:rPr>
          <w:rFonts w:ascii="Cambria" w:hAnsi="Cambria"/>
          <w:highlight w:val="lightGray"/>
        </w:rPr>
        <w:t>(85)</w:t>
      </w:r>
      <w:r w:rsidR="00996567">
        <w:rPr>
          <w:rFonts w:ascii="Cambria" w:hAnsi="Cambria"/>
        </w:rPr>
        <w:t xml:space="preserve">.  </w:t>
      </w:r>
    </w:p>
    <w:p w:rsidR="00C77B84" w:rsidRDefault="00C77B84" w:rsidP="004439A8">
      <w:pPr>
        <w:spacing w:line="480" w:lineRule="auto"/>
        <w:rPr>
          <w:rFonts w:ascii="Cambria" w:hAnsi="Cambria"/>
        </w:rPr>
      </w:pPr>
    </w:p>
    <w:p w:rsidR="00996567" w:rsidRPr="00996567" w:rsidRDefault="00996567" w:rsidP="004439A8">
      <w:pPr>
        <w:spacing w:line="480" w:lineRule="auto"/>
        <w:rPr>
          <w:rFonts w:ascii="Cambria" w:hAnsi="Cambria"/>
        </w:rPr>
      </w:pPr>
      <w:r w:rsidRPr="00C77B84">
        <w:rPr>
          <w:rFonts w:ascii="Cambria" w:hAnsi="Cambria"/>
          <w:highlight w:val="yellow"/>
        </w:rPr>
        <w:t xml:space="preserve">He was partially supported in this position by Francis </w:t>
      </w:r>
      <w:proofErr w:type="spellStart"/>
      <w:r w:rsidRPr="00C77B84">
        <w:rPr>
          <w:rFonts w:ascii="Cambria" w:hAnsi="Cambria"/>
          <w:highlight w:val="yellow"/>
        </w:rPr>
        <w:t>Steegmuller</w:t>
      </w:r>
      <w:proofErr w:type="spellEnd"/>
      <w:r w:rsidRPr="00C77B84">
        <w:rPr>
          <w:rFonts w:ascii="Cambria" w:hAnsi="Cambria"/>
          <w:highlight w:val="yellow"/>
        </w:rPr>
        <w:t>, the author of an influential Maupassant biography, who regard</w:t>
      </w:r>
      <w:r w:rsidR="00C77B84" w:rsidRPr="00C77B84">
        <w:rPr>
          <w:rFonts w:ascii="Cambria" w:hAnsi="Cambria"/>
          <w:highlight w:val="yellow"/>
        </w:rPr>
        <w:t>s</w:t>
      </w:r>
      <w:r w:rsidRPr="00C77B84">
        <w:rPr>
          <w:rFonts w:ascii="Cambria" w:hAnsi="Cambria"/>
          <w:highlight w:val="yellow"/>
        </w:rPr>
        <w:t xml:space="preserve"> “The Necklace” as</w:t>
      </w:r>
      <w:r>
        <w:rPr>
          <w:rFonts w:ascii="Cambria" w:hAnsi="Cambria"/>
        </w:rPr>
        <w:t xml:space="preserve"> </w:t>
      </w:r>
      <w:r w:rsidRPr="00C77B84">
        <w:rPr>
          <w:rFonts w:ascii="Cambria" w:hAnsi="Cambria"/>
          <w:highlight w:val="green"/>
        </w:rPr>
        <w:t>“inherently inferior”</w:t>
      </w:r>
      <w:r>
        <w:rPr>
          <w:rFonts w:ascii="Cambria" w:hAnsi="Cambria"/>
        </w:rPr>
        <w:t xml:space="preserve"> to Maupassant’s other works because it is </w:t>
      </w:r>
      <w:r w:rsidRPr="00C77B84">
        <w:rPr>
          <w:rFonts w:ascii="Cambria" w:hAnsi="Cambria"/>
          <w:highlight w:val="green"/>
        </w:rPr>
        <w:t>“flawed by improbabilities,”</w:t>
      </w:r>
      <w:r>
        <w:rPr>
          <w:rFonts w:ascii="Cambria" w:hAnsi="Cambria"/>
        </w:rPr>
        <w:t xml:space="preserve"> </w:t>
      </w:r>
      <w:r w:rsidRPr="00C77B84">
        <w:rPr>
          <w:rFonts w:ascii="Cambria" w:hAnsi="Cambria"/>
          <w:highlight w:val="cyan"/>
        </w:rPr>
        <w:t>by which he meant all of the story’s unlikely coincidences but particularly the final revelation of the necklace’s true nature</w:t>
      </w:r>
      <w:r w:rsidR="00C77B84">
        <w:rPr>
          <w:rFonts w:ascii="Cambria" w:hAnsi="Cambria"/>
          <w:highlight w:val="cyan"/>
        </w:rPr>
        <w:t xml:space="preserve"> </w:t>
      </w:r>
      <w:r w:rsidR="00C77B84" w:rsidRPr="00C77B84">
        <w:rPr>
          <w:rFonts w:ascii="Cambria" w:hAnsi="Cambria"/>
          <w:highlight w:val="lightGray"/>
        </w:rPr>
        <w:t>(145)</w:t>
      </w:r>
      <w:r w:rsidRPr="00C77B84">
        <w:rPr>
          <w:rFonts w:ascii="Cambria" w:hAnsi="Cambria"/>
          <w:highlight w:val="cyan"/>
        </w:rPr>
        <w:t>.  Despite these critics’ wishes to the contrar</w:t>
      </w:r>
      <w:r w:rsidR="00C77B84" w:rsidRPr="00C77B84">
        <w:rPr>
          <w:rFonts w:ascii="Cambria" w:hAnsi="Cambria"/>
          <w:highlight w:val="cyan"/>
        </w:rPr>
        <w:t>y</w:t>
      </w:r>
      <w:r w:rsidRPr="00C77B84">
        <w:rPr>
          <w:rFonts w:ascii="Cambria" w:hAnsi="Cambria"/>
          <w:highlight w:val="cyan"/>
        </w:rPr>
        <w:t>, the ending is a part of Maupassant’s story—and, I would argue, an integral one.</w:t>
      </w:r>
      <w:r>
        <w:rPr>
          <w:rFonts w:ascii="Cambria" w:hAnsi="Cambria"/>
        </w:rPr>
        <w:t xml:space="preserve">  </w:t>
      </w:r>
    </w:p>
    <w:p w:rsidR="004439A8" w:rsidRPr="004439A8" w:rsidRDefault="004439A8" w:rsidP="004439A8">
      <w:pPr>
        <w:spacing w:line="480" w:lineRule="auto"/>
        <w:rPr>
          <w:rFonts w:ascii="Cambria" w:hAnsi="Cambria"/>
          <w:b/>
          <w:sz w:val="24"/>
          <w:szCs w:val="24"/>
        </w:rPr>
      </w:pPr>
    </w:p>
    <w:p w:rsidR="004439A8" w:rsidRDefault="004439A8" w:rsidP="004439A8">
      <w:pPr>
        <w:spacing w:line="480" w:lineRule="auto"/>
        <w:rPr>
          <w:rFonts w:ascii="Cambria" w:hAnsi="Cambria"/>
          <w:b/>
          <w:sz w:val="24"/>
          <w:szCs w:val="24"/>
        </w:rPr>
      </w:pPr>
    </w:p>
    <w:p w:rsidR="004439A8" w:rsidRDefault="004439A8" w:rsidP="004439A8">
      <w:pPr>
        <w:spacing w:line="480" w:lineRule="auto"/>
        <w:rPr>
          <w:rFonts w:ascii="Cambria" w:hAnsi="Cambria"/>
          <w:b/>
          <w:sz w:val="24"/>
          <w:szCs w:val="24"/>
        </w:rPr>
      </w:pPr>
    </w:p>
    <w:p w:rsidR="004439A8" w:rsidRDefault="004439A8" w:rsidP="004439A8">
      <w:pPr>
        <w:spacing w:line="480" w:lineRule="auto"/>
        <w:rPr>
          <w:rFonts w:ascii="Cambria" w:hAnsi="Cambria"/>
          <w:b/>
          <w:sz w:val="24"/>
          <w:szCs w:val="24"/>
        </w:rPr>
      </w:pPr>
    </w:p>
    <w:p w:rsidR="004439A8" w:rsidRDefault="004439A8" w:rsidP="004439A8">
      <w:pPr>
        <w:spacing w:line="480" w:lineRule="auto"/>
        <w:rPr>
          <w:rFonts w:ascii="Cambria" w:hAnsi="Cambria"/>
          <w:b/>
          <w:sz w:val="24"/>
          <w:szCs w:val="24"/>
        </w:rPr>
      </w:pPr>
    </w:p>
    <w:p w:rsidR="004439A8" w:rsidRPr="004439A8" w:rsidRDefault="004439A8" w:rsidP="004439A8">
      <w:pPr>
        <w:spacing w:line="480" w:lineRule="auto"/>
        <w:rPr>
          <w:rFonts w:ascii="Cambria" w:hAnsi="Cambria"/>
          <w:b/>
          <w:sz w:val="24"/>
          <w:szCs w:val="24"/>
        </w:rPr>
      </w:pPr>
    </w:p>
    <w:p w:rsidR="00C77B84" w:rsidRDefault="00C77B84" w:rsidP="004439A8">
      <w:pPr>
        <w:rPr>
          <w:rFonts w:ascii="Cambria" w:hAnsi="Cambria"/>
          <w:b/>
          <w:sz w:val="24"/>
          <w:szCs w:val="24"/>
        </w:rPr>
      </w:pPr>
    </w:p>
    <w:p w:rsidR="00C77B84" w:rsidRDefault="00C77B84" w:rsidP="004439A8">
      <w:pPr>
        <w:rPr>
          <w:rFonts w:ascii="Cambria" w:hAnsi="Cambria"/>
          <w:b/>
          <w:sz w:val="24"/>
          <w:szCs w:val="24"/>
        </w:rPr>
      </w:pPr>
    </w:p>
    <w:p w:rsidR="00C77B84" w:rsidRDefault="00C77B84" w:rsidP="004439A8">
      <w:pPr>
        <w:rPr>
          <w:rFonts w:ascii="Cambria" w:hAnsi="Cambria"/>
          <w:b/>
          <w:sz w:val="24"/>
          <w:szCs w:val="24"/>
        </w:rPr>
      </w:pPr>
    </w:p>
    <w:p w:rsidR="00C77B84" w:rsidRDefault="00C77B84" w:rsidP="004439A8">
      <w:pPr>
        <w:rPr>
          <w:rFonts w:ascii="Cambria" w:hAnsi="Cambria"/>
          <w:b/>
          <w:sz w:val="24"/>
          <w:szCs w:val="24"/>
        </w:rPr>
      </w:pP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b/>
          <w:sz w:val="24"/>
          <w:szCs w:val="24"/>
        </w:rPr>
        <w:lastRenderedPageBreak/>
        <w:t>Quoting Templates</w:t>
      </w:r>
      <w:r>
        <w:rPr>
          <w:rFonts w:ascii="Cambria" w:hAnsi="Cambria"/>
          <w:b/>
          <w:sz w:val="24"/>
          <w:szCs w:val="24"/>
        </w:rPr>
        <w:t xml:space="preserve">—Signal Phrasing </w:t>
      </w: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Introducing quotes: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 states, “__________” (citation).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 xml:space="preserve">As the prominent philosopher X puts it, “_____________” (citation).  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According to X, “____________________” (citation).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 himself writes, “_____________________” (citation).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In her book, ______________, X maintains that “__________________” (citation).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 xml:space="preserve">Writing in the journal </w:t>
      </w:r>
      <w:r w:rsidRPr="004439A8">
        <w:rPr>
          <w:rFonts w:ascii="Cambria" w:hAnsi="Cambria"/>
          <w:i/>
          <w:sz w:val="24"/>
          <w:szCs w:val="24"/>
        </w:rPr>
        <w:t>Commentary</w:t>
      </w:r>
      <w:r w:rsidRPr="004439A8">
        <w:rPr>
          <w:rFonts w:ascii="Cambria" w:hAnsi="Cambria"/>
          <w:sz w:val="24"/>
          <w:szCs w:val="24"/>
        </w:rPr>
        <w:t>, X complains that “________________” (citation).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In X’s view, “_______” (citation).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 agrees when she writes, “_______________” (citation).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 disagrees when he writes, “__________________” (citation).</w:t>
      </w:r>
    </w:p>
    <w:p w:rsidR="004439A8" w:rsidRPr="004439A8" w:rsidRDefault="004439A8" w:rsidP="004439A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 complicates matters further when she writes, “______________” (citation).</w:t>
      </w: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Templates for Explaining Quotes:</w:t>
      </w:r>
    </w:p>
    <w:p w:rsidR="004439A8" w:rsidRPr="004439A8" w:rsidRDefault="004439A8" w:rsidP="004439A8">
      <w:pPr>
        <w:pStyle w:val="ListParagraph"/>
        <w:numPr>
          <w:ilvl w:val="0"/>
          <w:numId w:val="2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Basically, X is saying ___________________________________.</w:t>
      </w:r>
    </w:p>
    <w:p w:rsidR="004439A8" w:rsidRPr="004439A8" w:rsidRDefault="004439A8" w:rsidP="004439A8">
      <w:pPr>
        <w:pStyle w:val="ListParagraph"/>
        <w:numPr>
          <w:ilvl w:val="0"/>
          <w:numId w:val="2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In other words, X believes ________________________________.</w:t>
      </w:r>
    </w:p>
    <w:p w:rsidR="004439A8" w:rsidRPr="004439A8" w:rsidRDefault="004439A8" w:rsidP="004439A8">
      <w:pPr>
        <w:pStyle w:val="ListParagraph"/>
        <w:numPr>
          <w:ilvl w:val="0"/>
          <w:numId w:val="2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In making this comment, X argues that __________________________.</w:t>
      </w:r>
    </w:p>
    <w:p w:rsidR="004439A8" w:rsidRPr="004439A8" w:rsidRDefault="004439A8" w:rsidP="004439A8">
      <w:pPr>
        <w:pStyle w:val="ListParagraph"/>
        <w:numPr>
          <w:ilvl w:val="0"/>
          <w:numId w:val="2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 is insisting that ___________________________________________________.</w:t>
      </w:r>
    </w:p>
    <w:p w:rsidR="004439A8" w:rsidRPr="004439A8" w:rsidRDefault="004439A8" w:rsidP="004439A8">
      <w:pPr>
        <w:pStyle w:val="ListParagraph"/>
        <w:numPr>
          <w:ilvl w:val="0"/>
          <w:numId w:val="2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X’s point is that ____________________________________________________.</w:t>
      </w:r>
    </w:p>
    <w:p w:rsidR="004439A8" w:rsidRPr="004439A8" w:rsidRDefault="004439A8" w:rsidP="004439A8">
      <w:pPr>
        <w:pStyle w:val="ListParagraph"/>
        <w:numPr>
          <w:ilvl w:val="0"/>
          <w:numId w:val="2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The essence of X’s argument is that ______________________________.</w:t>
      </w: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 xml:space="preserve"> </w:t>
      </w:r>
    </w:p>
    <w:p w:rsidR="004439A8" w:rsidRPr="004439A8" w:rsidRDefault="004439A8" w:rsidP="004439A8">
      <w:pPr>
        <w:rPr>
          <w:rFonts w:ascii="Cambria" w:hAnsi="Cambria"/>
          <w:b/>
          <w:sz w:val="24"/>
          <w:szCs w:val="24"/>
        </w:rPr>
      </w:pPr>
      <w:r w:rsidRPr="004439A8">
        <w:rPr>
          <w:rFonts w:ascii="Cambria" w:hAnsi="Cambria"/>
          <w:b/>
          <w:sz w:val="24"/>
          <w:szCs w:val="24"/>
        </w:rPr>
        <w:t>Ways of Responding</w:t>
      </w: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Disagreeing</w:t>
      </w:r>
    </w:p>
    <w:p w:rsidR="004439A8" w:rsidRPr="004439A8" w:rsidRDefault="004439A8" w:rsidP="004439A8">
      <w:pPr>
        <w:numPr>
          <w:ilvl w:val="0"/>
          <w:numId w:val="3"/>
        </w:numPr>
        <w:ind w:left="1152"/>
        <w:contextualSpacing/>
        <w:rPr>
          <w:rFonts w:ascii="Cambria" w:eastAsia="Times New Roman" w:hAnsi="Cambria" w:cs="Times New Roman"/>
          <w:sz w:val="24"/>
          <w:szCs w:val="24"/>
        </w:rPr>
      </w:pPr>
      <w:r w:rsidRPr="004439A8">
        <w:rPr>
          <w:rFonts w:ascii="Cambria" w:eastAsiaTheme="minorEastAsia" w:hAnsi="Cambria"/>
          <w:kern w:val="24"/>
          <w:sz w:val="24"/>
          <w:szCs w:val="24"/>
        </w:rPr>
        <w:t>I think that X is mistaken because she overlooks _____________.</w:t>
      </w:r>
    </w:p>
    <w:p w:rsidR="004439A8" w:rsidRPr="004439A8" w:rsidRDefault="004439A8" w:rsidP="004439A8">
      <w:pPr>
        <w:numPr>
          <w:ilvl w:val="0"/>
          <w:numId w:val="3"/>
        </w:numPr>
        <w:ind w:left="1152"/>
        <w:contextualSpacing/>
        <w:rPr>
          <w:rFonts w:ascii="Cambria" w:eastAsia="Times New Roman" w:hAnsi="Cambria" w:cs="Times New Roman"/>
          <w:sz w:val="24"/>
          <w:szCs w:val="24"/>
        </w:rPr>
      </w:pPr>
      <w:r w:rsidRPr="004439A8">
        <w:rPr>
          <w:rFonts w:ascii="Cambria" w:eastAsiaTheme="minorEastAsia" w:hAnsi="Cambria"/>
          <w:kern w:val="24"/>
          <w:sz w:val="24"/>
          <w:szCs w:val="24"/>
        </w:rPr>
        <w:t>X’s claim that ___________ rests upon the questionable assumption that______.</w:t>
      </w:r>
    </w:p>
    <w:p w:rsidR="004439A8" w:rsidRPr="004439A8" w:rsidRDefault="004439A8" w:rsidP="004439A8">
      <w:pPr>
        <w:numPr>
          <w:ilvl w:val="0"/>
          <w:numId w:val="3"/>
        </w:numPr>
        <w:ind w:left="1152"/>
        <w:contextualSpacing/>
        <w:rPr>
          <w:rFonts w:ascii="Cambria" w:eastAsia="Times New Roman" w:hAnsi="Cambria" w:cs="Times New Roman"/>
          <w:sz w:val="24"/>
          <w:szCs w:val="24"/>
        </w:rPr>
      </w:pPr>
      <w:r w:rsidRPr="004439A8">
        <w:rPr>
          <w:rFonts w:ascii="Cambria" w:eastAsiaTheme="minorEastAsia" w:hAnsi="Cambria"/>
          <w:kern w:val="24"/>
          <w:sz w:val="24"/>
          <w:szCs w:val="24"/>
        </w:rPr>
        <w:t>X contradicts herself.  On the one hand, she argues _______.  But on the other hand, she also says _____________.</w:t>
      </w:r>
    </w:p>
    <w:p w:rsidR="004439A8" w:rsidRPr="004439A8" w:rsidRDefault="004439A8" w:rsidP="004439A8">
      <w:pPr>
        <w:numPr>
          <w:ilvl w:val="0"/>
          <w:numId w:val="3"/>
        </w:numPr>
        <w:ind w:left="1152"/>
        <w:contextualSpacing/>
        <w:rPr>
          <w:rFonts w:ascii="Cambria" w:eastAsia="Times New Roman" w:hAnsi="Cambria" w:cs="Times New Roman"/>
          <w:sz w:val="24"/>
          <w:szCs w:val="24"/>
        </w:rPr>
      </w:pPr>
      <w:r w:rsidRPr="004439A8">
        <w:rPr>
          <w:rFonts w:ascii="Cambria" w:eastAsiaTheme="minorEastAsia" w:hAnsi="Cambria"/>
          <w:kern w:val="24"/>
          <w:sz w:val="24"/>
          <w:szCs w:val="24"/>
        </w:rPr>
        <w:t>By focusing on _________, X overlooks the deeper problem of ____________.</w:t>
      </w: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Agreeing</w:t>
      </w:r>
    </w:p>
    <w:p w:rsidR="004439A8" w:rsidRPr="004439A8" w:rsidRDefault="004439A8" w:rsidP="004439A8">
      <w:pPr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 xml:space="preserve">I agree that _________ because my experience ______ confirms it.  </w:t>
      </w:r>
    </w:p>
    <w:p w:rsidR="004439A8" w:rsidRPr="004439A8" w:rsidRDefault="004439A8" w:rsidP="004439A8">
      <w:pPr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 is surely right about ______ because, as she may not be aware, recent studies have shown that ____________.</w:t>
      </w:r>
    </w:p>
    <w:p w:rsidR="004439A8" w:rsidRPr="004439A8" w:rsidRDefault="004439A8" w:rsidP="004439A8">
      <w:pPr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X’s theory of _________ is extremely useful because it sheds light on a difficult problem of __________.</w:t>
      </w:r>
    </w:p>
    <w:p w:rsidR="004439A8" w:rsidRPr="004439A8" w:rsidRDefault="004439A8" w:rsidP="004439A8">
      <w:pPr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Those unfamiliar with this school of thought may be interested to know that it basically boils down to _____________.</w:t>
      </w: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</w:p>
    <w:p w:rsidR="004439A8" w:rsidRPr="004439A8" w:rsidRDefault="004439A8" w:rsidP="004439A8">
      <w:p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 xml:space="preserve">Combination of Both </w:t>
      </w:r>
    </w:p>
    <w:p w:rsidR="004439A8" w:rsidRPr="004439A8" w:rsidRDefault="004439A8" w:rsidP="004439A8">
      <w:pPr>
        <w:numPr>
          <w:ilvl w:val="0"/>
          <w:numId w:val="5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Although I agree with X up to a point, I cannot accept his overall conclusion that__________.</w:t>
      </w:r>
    </w:p>
    <w:p w:rsidR="004439A8" w:rsidRPr="004439A8" w:rsidRDefault="004439A8" w:rsidP="004439A8">
      <w:pPr>
        <w:numPr>
          <w:ilvl w:val="0"/>
          <w:numId w:val="5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Although I disagree with much that X says, I fully endorse his final conclusion that ____________.</w:t>
      </w:r>
    </w:p>
    <w:p w:rsidR="004439A8" w:rsidRPr="004439A8" w:rsidRDefault="004439A8" w:rsidP="004439A8">
      <w:pPr>
        <w:numPr>
          <w:ilvl w:val="0"/>
          <w:numId w:val="5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Though I concede that _______, I still insist that __________.</w:t>
      </w:r>
    </w:p>
    <w:p w:rsidR="004439A8" w:rsidRPr="004439A8" w:rsidRDefault="004439A8" w:rsidP="004439A8">
      <w:pPr>
        <w:numPr>
          <w:ilvl w:val="0"/>
          <w:numId w:val="5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X is right that _______, but she seems on more dubious ground when she claims that _________.</w:t>
      </w:r>
    </w:p>
    <w:p w:rsidR="004439A8" w:rsidRPr="004439A8" w:rsidRDefault="004439A8" w:rsidP="004439A8">
      <w:pPr>
        <w:numPr>
          <w:ilvl w:val="0"/>
          <w:numId w:val="5"/>
        </w:numPr>
        <w:rPr>
          <w:rFonts w:ascii="Cambria" w:hAnsi="Cambria"/>
          <w:sz w:val="24"/>
          <w:szCs w:val="24"/>
        </w:rPr>
      </w:pPr>
      <w:r w:rsidRPr="004439A8">
        <w:rPr>
          <w:rFonts w:ascii="Cambria" w:hAnsi="Cambria"/>
          <w:sz w:val="24"/>
          <w:szCs w:val="24"/>
        </w:rPr>
        <w:t>While X is probably wrong when she claims that _________ she is right when she claims that______.</w:t>
      </w:r>
    </w:p>
    <w:p w:rsidR="00176F2E" w:rsidRPr="004439A8" w:rsidRDefault="00476487" w:rsidP="004439A8">
      <w:pPr>
        <w:rPr>
          <w:rFonts w:ascii="Cambria" w:hAnsi="Cambria"/>
        </w:rPr>
      </w:pPr>
    </w:p>
    <w:sectPr w:rsidR="00176F2E" w:rsidRPr="004439A8" w:rsidSect="004439A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B33FE"/>
    <w:multiLevelType w:val="hybridMultilevel"/>
    <w:tmpl w:val="9208CF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031847"/>
    <w:multiLevelType w:val="hybridMultilevel"/>
    <w:tmpl w:val="02969682"/>
    <w:lvl w:ilvl="0" w:tplc="65FCE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40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43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10A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963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40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DA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087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B03A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D97338"/>
    <w:multiLevelType w:val="hybridMultilevel"/>
    <w:tmpl w:val="0F349E4C"/>
    <w:lvl w:ilvl="0" w:tplc="390289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C2C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6F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45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CE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2E0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9621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5E6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CA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4392DCD"/>
    <w:multiLevelType w:val="hybridMultilevel"/>
    <w:tmpl w:val="91586680"/>
    <w:lvl w:ilvl="0" w:tplc="D94CE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DA95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1CA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A4D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F84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C04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2D8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432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F21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E526B12"/>
    <w:multiLevelType w:val="hybridMultilevel"/>
    <w:tmpl w:val="C85CFD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9A8"/>
    <w:rsid w:val="004439A8"/>
    <w:rsid w:val="00476487"/>
    <w:rsid w:val="00996567"/>
    <w:rsid w:val="00B0608E"/>
    <w:rsid w:val="00BA263D"/>
    <w:rsid w:val="00C04901"/>
    <w:rsid w:val="00C7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8AAB96-0619-4476-8086-261D36D08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39A8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3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3720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Rodems, Kathleen Louise</dc:creator>
  <cp:keywords/>
  <dc:description/>
  <cp:lastModifiedBy>Rodems, Kathleen Louise</cp:lastModifiedBy>
  <cp:revision>3</cp:revision>
  <dcterms:created xsi:type="dcterms:W3CDTF">2017-01-31T15:20:00Z</dcterms:created>
  <dcterms:modified xsi:type="dcterms:W3CDTF">2017-01-31T15:21:00Z</dcterms:modified>
</cp:coreProperties>
</file>